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3D1860" w:rsidTr="00965DCF">
        <w:trPr>
          <w:trHeight w:hRule="exact" w:val="694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3D1860" w:rsidRDefault="00965DC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129" w:type="dxa"/>
          </w:tcPr>
          <w:p w:rsidR="003D1860" w:rsidRDefault="003D1860"/>
        </w:tc>
        <w:tc>
          <w:tcPr>
            <w:tcW w:w="2250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138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129" w:type="dxa"/>
          </w:tcPr>
          <w:p w:rsidR="003D1860" w:rsidRDefault="003D1860"/>
        </w:tc>
        <w:tc>
          <w:tcPr>
            <w:tcW w:w="2250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RPr="00965DCF" w:rsidTr="00965DCF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3D1860" w:rsidRPr="00965DCF" w:rsidTr="00965DCF">
        <w:trPr>
          <w:trHeight w:hRule="exact" w:val="138"/>
        </w:trPr>
        <w:tc>
          <w:tcPr>
            <w:tcW w:w="4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 w:rsidTr="00965DCF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65DCF" w:rsidRDefault="0096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3D1860" w:rsidRPr="00965DCF" w:rsidRDefault="00965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3D1860" w:rsidRPr="00965DCF" w:rsidRDefault="00965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965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3D1860" w:rsidRPr="00965DCF" w:rsidRDefault="00965D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3D1860" w:rsidRPr="00965DCF" w:rsidTr="00965DCF">
        <w:trPr>
          <w:trHeight w:hRule="exact" w:val="44"/>
        </w:trPr>
        <w:tc>
          <w:tcPr>
            <w:tcW w:w="4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Tr="00965DCF">
        <w:trPr>
          <w:trHeight w:hRule="exact" w:val="277"/>
        </w:trPr>
        <w:tc>
          <w:tcPr>
            <w:tcW w:w="4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65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129" w:type="dxa"/>
          </w:tcPr>
          <w:p w:rsidR="003D1860" w:rsidRDefault="003D1860"/>
        </w:tc>
        <w:tc>
          <w:tcPr>
            <w:tcW w:w="2250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498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57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359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225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129" w:type="dxa"/>
          </w:tcPr>
          <w:p w:rsidR="003D1860" w:rsidRDefault="003D1860"/>
        </w:tc>
        <w:tc>
          <w:tcPr>
            <w:tcW w:w="2250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методы</w:t>
            </w:r>
            <w:proofErr w:type="spellEnd"/>
          </w:p>
        </w:tc>
      </w:tr>
      <w:tr w:rsidR="003D1860" w:rsidTr="00965DCF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3D1860" w:rsidTr="00965DCF">
        <w:trPr>
          <w:trHeight w:hRule="exact" w:val="138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129" w:type="dxa"/>
          </w:tcPr>
          <w:p w:rsidR="003D1860" w:rsidRDefault="003D1860"/>
        </w:tc>
        <w:tc>
          <w:tcPr>
            <w:tcW w:w="2250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RPr="00965DCF" w:rsidTr="00965DCF">
        <w:trPr>
          <w:trHeight w:hRule="exact" w:val="277"/>
        </w:trPr>
        <w:tc>
          <w:tcPr>
            <w:tcW w:w="420" w:type="dxa"/>
          </w:tcPr>
          <w:p w:rsidR="003D1860" w:rsidRDefault="003D1860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3D1860" w:rsidRPr="00965DCF" w:rsidTr="00965DCF">
        <w:trPr>
          <w:trHeight w:hRule="exact" w:val="138"/>
        </w:trPr>
        <w:tc>
          <w:tcPr>
            <w:tcW w:w="4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 w:rsidTr="00965DCF">
        <w:trPr>
          <w:trHeight w:hRule="exact" w:val="277"/>
        </w:trPr>
        <w:tc>
          <w:tcPr>
            <w:tcW w:w="4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09.02.07-16-2-2022-23 - 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РВиМП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 среднего общего образования: технологический</w:t>
            </w:r>
          </w:p>
        </w:tc>
      </w:tr>
      <w:tr w:rsidR="003D1860" w:rsidRPr="00965DCF" w:rsidTr="00965DCF">
        <w:trPr>
          <w:trHeight w:hRule="exact" w:val="615"/>
        </w:trPr>
        <w:tc>
          <w:tcPr>
            <w:tcW w:w="4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 w:rsidTr="00965DCF">
        <w:trPr>
          <w:trHeight w:hRule="exact" w:val="138"/>
        </w:trPr>
        <w:tc>
          <w:tcPr>
            <w:tcW w:w="4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 w:rsidTr="00965DCF">
        <w:trPr>
          <w:trHeight w:hRule="exact" w:val="277"/>
        </w:trPr>
        <w:tc>
          <w:tcPr>
            <w:tcW w:w="4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Разработчик веб и мультимедийных приложений</w:t>
            </w:r>
          </w:p>
        </w:tc>
      </w:tr>
      <w:tr w:rsidR="003D1860" w:rsidRPr="00965DCF" w:rsidTr="00965DCF">
        <w:trPr>
          <w:trHeight w:hRule="exact" w:val="138"/>
        </w:trPr>
        <w:tc>
          <w:tcPr>
            <w:tcW w:w="4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Tr="00965DCF">
        <w:trPr>
          <w:trHeight w:hRule="exact" w:val="277"/>
        </w:trPr>
        <w:tc>
          <w:tcPr>
            <w:tcW w:w="4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3D1860" w:rsidTr="00965DCF">
        <w:trPr>
          <w:trHeight w:hRule="exact" w:val="138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129" w:type="dxa"/>
          </w:tcPr>
          <w:p w:rsidR="003D1860" w:rsidRDefault="003D1860"/>
        </w:tc>
        <w:tc>
          <w:tcPr>
            <w:tcW w:w="2250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420" w:type="dxa"/>
          </w:tcPr>
          <w:p w:rsidR="003D1860" w:rsidRDefault="003D1860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D1860" w:rsidRDefault="003D1860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129" w:type="dxa"/>
          </w:tcPr>
          <w:p w:rsidR="003D1860" w:rsidRDefault="003D1860"/>
        </w:tc>
        <w:tc>
          <w:tcPr>
            <w:tcW w:w="2250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1056" w:type="dxa"/>
          </w:tcPr>
          <w:p w:rsidR="003D1860" w:rsidRDefault="003D1860"/>
        </w:tc>
        <w:tc>
          <w:tcPr>
            <w:tcW w:w="928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129" w:type="dxa"/>
          </w:tcPr>
          <w:p w:rsidR="003D1860" w:rsidRDefault="003D1860"/>
        </w:tc>
        <w:tc>
          <w:tcPr>
            <w:tcW w:w="2250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420" w:type="dxa"/>
          </w:tcPr>
          <w:p w:rsidR="003D1860" w:rsidRDefault="003D1860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D1860" w:rsidTr="00965DCF">
        <w:trPr>
          <w:trHeight w:hRule="exact" w:val="277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3D1860" w:rsidRDefault="003D1860"/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3D1860" w:rsidTr="00965DCF">
        <w:trPr>
          <w:trHeight w:hRule="exact" w:val="277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129" w:type="dxa"/>
          </w:tcPr>
          <w:p w:rsidR="003D1860" w:rsidRDefault="003D1860"/>
        </w:tc>
        <w:tc>
          <w:tcPr>
            <w:tcW w:w="2250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420" w:type="dxa"/>
          </w:tcPr>
          <w:p w:rsidR="003D1860" w:rsidRDefault="003D1860"/>
        </w:tc>
        <w:tc>
          <w:tcPr>
            <w:tcW w:w="285" w:type="dxa"/>
          </w:tcPr>
          <w:p w:rsidR="003D1860" w:rsidRDefault="003D1860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4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  <w:tc>
          <w:tcPr>
            <w:tcW w:w="53" w:type="dxa"/>
          </w:tcPr>
          <w:p w:rsidR="003D1860" w:rsidRDefault="003D1860"/>
        </w:tc>
        <w:tc>
          <w:tcPr>
            <w:tcW w:w="865" w:type="dxa"/>
          </w:tcPr>
          <w:p w:rsidR="003D1860" w:rsidRDefault="003D1860"/>
        </w:tc>
        <w:tc>
          <w:tcPr>
            <w:tcW w:w="51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1129" w:type="dxa"/>
          </w:tcPr>
          <w:p w:rsidR="003D1860" w:rsidRDefault="003D1860"/>
        </w:tc>
        <w:tc>
          <w:tcPr>
            <w:tcW w:w="2250" w:type="dxa"/>
          </w:tcPr>
          <w:p w:rsidR="003D1860" w:rsidRDefault="003D1860"/>
        </w:tc>
        <w:tc>
          <w:tcPr>
            <w:tcW w:w="283" w:type="dxa"/>
          </w:tcPr>
          <w:p w:rsidR="003D1860" w:rsidRDefault="003D1860"/>
        </w:tc>
      </w:tr>
    </w:tbl>
    <w:p w:rsidR="003D1860" w:rsidRDefault="003D186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3D1860" w:rsidRPr="00965DCF" w:rsidTr="00965DCF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Tr="00965DC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3D1860"/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965D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965D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965D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1860" w:rsidRDefault="00965D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26"/>
        </w:trPr>
        <w:tc>
          <w:tcPr>
            <w:tcW w:w="1857" w:type="dxa"/>
          </w:tcPr>
          <w:p w:rsidR="003D1860" w:rsidRDefault="003D1860"/>
        </w:tc>
        <w:tc>
          <w:tcPr>
            <w:tcW w:w="355" w:type="dxa"/>
          </w:tcPr>
          <w:p w:rsidR="003D1860" w:rsidRDefault="003D1860"/>
        </w:tc>
        <w:tc>
          <w:tcPr>
            <w:tcW w:w="355" w:type="dxa"/>
          </w:tcPr>
          <w:p w:rsidR="003D1860" w:rsidRDefault="003D1860"/>
        </w:tc>
        <w:tc>
          <w:tcPr>
            <w:tcW w:w="311" w:type="dxa"/>
          </w:tcPr>
          <w:p w:rsidR="003D1860" w:rsidRDefault="003D1860"/>
        </w:tc>
        <w:tc>
          <w:tcPr>
            <w:tcW w:w="44" w:type="dxa"/>
          </w:tcPr>
          <w:p w:rsidR="003D1860" w:rsidRDefault="003D1860"/>
        </w:tc>
        <w:tc>
          <w:tcPr>
            <w:tcW w:w="1654" w:type="dxa"/>
          </w:tcPr>
          <w:p w:rsidR="003D1860" w:rsidRDefault="003D1860"/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138"/>
        </w:trPr>
        <w:tc>
          <w:tcPr>
            <w:tcW w:w="1857" w:type="dxa"/>
          </w:tcPr>
          <w:p w:rsidR="003D1860" w:rsidRDefault="003D1860"/>
        </w:tc>
        <w:tc>
          <w:tcPr>
            <w:tcW w:w="355" w:type="dxa"/>
          </w:tcPr>
          <w:p w:rsidR="003D1860" w:rsidRDefault="003D1860"/>
        </w:tc>
        <w:tc>
          <w:tcPr>
            <w:tcW w:w="355" w:type="dxa"/>
          </w:tcPr>
          <w:p w:rsidR="003D1860" w:rsidRDefault="003D1860"/>
        </w:tc>
        <w:tc>
          <w:tcPr>
            <w:tcW w:w="311" w:type="dxa"/>
          </w:tcPr>
          <w:p w:rsidR="003D1860" w:rsidRDefault="003D1860"/>
        </w:tc>
        <w:tc>
          <w:tcPr>
            <w:tcW w:w="44" w:type="dxa"/>
          </w:tcPr>
          <w:p w:rsidR="003D1860" w:rsidRDefault="003D1860"/>
        </w:tc>
        <w:tc>
          <w:tcPr>
            <w:tcW w:w="1654" w:type="dxa"/>
          </w:tcPr>
          <w:p w:rsidR="003D1860" w:rsidRDefault="003D1860"/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</w:tcPr>
          <w:p w:rsidR="003D1860" w:rsidRDefault="003D1860"/>
        </w:tc>
        <w:tc>
          <w:tcPr>
            <w:tcW w:w="1277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1857" w:type="dxa"/>
          </w:tcPr>
          <w:p w:rsidR="003D1860" w:rsidRDefault="003D1860"/>
        </w:tc>
        <w:tc>
          <w:tcPr>
            <w:tcW w:w="355" w:type="dxa"/>
          </w:tcPr>
          <w:p w:rsidR="003D1860" w:rsidRDefault="003D1860"/>
        </w:tc>
        <w:tc>
          <w:tcPr>
            <w:tcW w:w="355" w:type="dxa"/>
          </w:tcPr>
          <w:p w:rsidR="003D1860" w:rsidRDefault="003D1860"/>
        </w:tc>
        <w:tc>
          <w:tcPr>
            <w:tcW w:w="311" w:type="dxa"/>
          </w:tcPr>
          <w:p w:rsidR="003D1860" w:rsidRDefault="003D1860"/>
        </w:tc>
        <w:tc>
          <w:tcPr>
            <w:tcW w:w="44" w:type="dxa"/>
          </w:tcPr>
          <w:p w:rsidR="003D1860" w:rsidRDefault="003D1860"/>
        </w:tc>
        <w:tc>
          <w:tcPr>
            <w:tcW w:w="1654" w:type="dxa"/>
          </w:tcPr>
          <w:p w:rsidR="003D1860" w:rsidRDefault="003D1860"/>
        </w:tc>
        <w:tc>
          <w:tcPr>
            <w:tcW w:w="173" w:type="dxa"/>
          </w:tcPr>
          <w:p w:rsidR="003D1860" w:rsidRDefault="003D1860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3D1860" w:rsidRDefault="003D1860"/>
        </w:tc>
      </w:tr>
    </w:tbl>
    <w:p w:rsidR="003D1860" w:rsidRDefault="00965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389"/>
        <w:gridCol w:w="111"/>
        <w:gridCol w:w="550"/>
        <w:gridCol w:w="820"/>
        <w:gridCol w:w="286"/>
        <w:gridCol w:w="785"/>
        <w:gridCol w:w="1462"/>
        <w:gridCol w:w="2259"/>
        <w:gridCol w:w="952"/>
      </w:tblGrid>
      <w:tr w:rsidR="003D1860" w:rsidTr="00965DCF">
        <w:trPr>
          <w:trHeight w:hRule="exact" w:val="416"/>
        </w:trPr>
        <w:tc>
          <w:tcPr>
            <w:tcW w:w="4530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286" w:type="dxa"/>
          </w:tcPr>
          <w:p w:rsidR="003D1860" w:rsidRDefault="003D1860"/>
        </w:tc>
        <w:tc>
          <w:tcPr>
            <w:tcW w:w="785" w:type="dxa"/>
          </w:tcPr>
          <w:p w:rsidR="003D1860" w:rsidRDefault="003D1860"/>
        </w:tc>
        <w:tc>
          <w:tcPr>
            <w:tcW w:w="1462" w:type="dxa"/>
          </w:tcPr>
          <w:p w:rsidR="003D1860" w:rsidRDefault="003D1860"/>
        </w:tc>
        <w:tc>
          <w:tcPr>
            <w:tcW w:w="2259" w:type="dxa"/>
          </w:tcPr>
          <w:p w:rsidR="003D1860" w:rsidRDefault="003D1860"/>
        </w:tc>
        <w:tc>
          <w:tcPr>
            <w:tcW w:w="952" w:type="dxa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1860" w:rsidTr="00965DCF">
        <w:trPr>
          <w:trHeight w:hRule="exact" w:val="277"/>
        </w:trPr>
        <w:tc>
          <w:tcPr>
            <w:tcW w:w="37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20" w:type="dxa"/>
          </w:tcPr>
          <w:p w:rsidR="003D1860" w:rsidRDefault="003D1860"/>
        </w:tc>
        <w:tc>
          <w:tcPr>
            <w:tcW w:w="286" w:type="dxa"/>
          </w:tcPr>
          <w:p w:rsidR="003D1860" w:rsidRDefault="003D1860"/>
        </w:tc>
        <w:tc>
          <w:tcPr>
            <w:tcW w:w="785" w:type="dxa"/>
          </w:tcPr>
          <w:p w:rsidR="003D1860" w:rsidRDefault="003D1860"/>
        </w:tc>
        <w:tc>
          <w:tcPr>
            <w:tcW w:w="1462" w:type="dxa"/>
          </w:tcPr>
          <w:p w:rsidR="003D1860" w:rsidRDefault="003D1860"/>
        </w:tc>
        <w:tc>
          <w:tcPr>
            <w:tcW w:w="2259" w:type="dxa"/>
          </w:tcPr>
          <w:p w:rsidR="003D1860" w:rsidRDefault="003D1860"/>
        </w:tc>
        <w:tc>
          <w:tcPr>
            <w:tcW w:w="952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З.Г.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Смирнова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3D1860" w:rsidTr="00965DCF">
        <w:trPr>
          <w:trHeight w:hRule="exact" w:val="277"/>
        </w:trPr>
        <w:tc>
          <w:tcPr>
            <w:tcW w:w="1660" w:type="dxa"/>
          </w:tcPr>
          <w:p w:rsidR="003D1860" w:rsidRDefault="003D1860"/>
        </w:tc>
        <w:tc>
          <w:tcPr>
            <w:tcW w:w="1389" w:type="dxa"/>
          </w:tcPr>
          <w:p w:rsidR="003D1860" w:rsidRDefault="003D1860"/>
        </w:tc>
        <w:tc>
          <w:tcPr>
            <w:tcW w:w="111" w:type="dxa"/>
          </w:tcPr>
          <w:p w:rsidR="003D1860" w:rsidRDefault="003D1860"/>
        </w:tc>
        <w:tc>
          <w:tcPr>
            <w:tcW w:w="550" w:type="dxa"/>
          </w:tcPr>
          <w:p w:rsidR="003D1860" w:rsidRDefault="003D1860"/>
        </w:tc>
        <w:tc>
          <w:tcPr>
            <w:tcW w:w="820" w:type="dxa"/>
          </w:tcPr>
          <w:p w:rsidR="003D1860" w:rsidRDefault="003D1860"/>
        </w:tc>
        <w:tc>
          <w:tcPr>
            <w:tcW w:w="286" w:type="dxa"/>
          </w:tcPr>
          <w:p w:rsidR="003D1860" w:rsidRDefault="003D1860"/>
        </w:tc>
        <w:tc>
          <w:tcPr>
            <w:tcW w:w="785" w:type="dxa"/>
          </w:tcPr>
          <w:p w:rsidR="003D1860" w:rsidRDefault="003D1860"/>
        </w:tc>
        <w:tc>
          <w:tcPr>
            <w:tcW w:w="1462" w:type="dxa"/>
          </w:tcPr>
          <w:p w:rsidR="003D1860" w:rsidRDefault="003D1860"/>
        </w:tc>
        <w:tc>
          <w:tcPr>
            <w:tcW w:w="2259" w:type="dxa"/>
          </w:tcPr>
          <w:p w:rsidR="003D1860" w:rsidRDefault="003D1860"/>
        </w:tc>
        <w:tc>
          <w:tcPr>
            <w:tcW w:w="952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37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20" w:type="dxa"/>
          </w:tcPr>
          <w:p w:rsidR="003D1860" w:rsidRDefault="003D1860"/>
        </w:tc>
        <w:tc>
          <w:tcPr>
            <w:tcW w:w="286" w:type="dxa"/>
          </w:tcPr>
          <w:p w:rsidR="003D1860" w:rsidRDefault="003D1860"/>
        </w:tc>
        <w:tc>
          <w:tcPr>
            <w:tcW w:w="785" w:type="dxa"/>
          </w:tcPr>
          <w:p w:rsidR="003D1860" w:rsidRDefault="003D1860"/>
        </w:tc>
        <w:tc>
          <w:tcPr>
            <w:tcW w:w="1462" w:type="dxa"/>
          </w:tcPr>
          <w:p w:rsidR="003D1860" w:rsidRDefault="003D1860"/>
        </w:tc>
        <w:tc>
          <w:tcPr>
            <w:tcW w:w="2259" w:type="dxa"/>
          </w:tcPr>
          <w:p w:rsidR="003D1860" w:rsidRDefault="003D1860"/>
        </w:tc>
        <w:tc>
          <w:tcPr>
            <w:tcW w:w="952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С.В.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3D1860" w:rsidTr="00965DCF">
        <w:trPr>
          <w:trHeight w:hRule="exact" w:val="1389"/>
        </w:trPr>
        <w:tc>
          <w:tcPr>
            <w:tcW w:w="1660" w:type="dxa"/>
          </w:tcPr>
          <w:p w:rsidR="003D1860" w:rsidRDefault="003D1860"/>
        </w:tc>
        <w:tc>
          <w:tcPr>
            <w:tcW w:w="1389" w:type="dxa"/>
          </w:tcPr>
          <w:p w:rsidR="003D1860" w:rsidRDefault="003D1860"/>
        </w:tc>
        <w:tc>
          <w:tcPr>
            <w:tcW w:w="111" w:type="dxa"/>
          </w:tcPr>
          <w:p w:rsidR="003D1860" w:rsidRDefault="003D1860"/>
        </w:tc>
        <w:tc>
          <w:tcPr>
            <w:tcW w:w="550" w:type="dxa"/>
          </w:tcPr>
          <w:p w:rsidR="003D1860" w:rsidRDefault="003D1860"/>
        </w:tc>
        <w:tc>
          <w:tcPr>
            <w:tcW w:w="820" w:type="dxa"/>
          </w:tcPr>
          <w:p w:rsidR="003D1860" w:rsidRDefault="003D1860"/>
        </w:tc>
        <w:tc>
          <w:tcPr>
            <w:tcW w:w="286" w:type="dxa"/>
          </w:tcPr>
          <w:p w:rsidR="003D1860" w:rsidRDefault="003D1860"/>
        </w:tc>
        <w:tc>
          <w:tcPr>
            <w:tcW w:w="785" w:type="dxa"/>
          </w:tcPr>
          <w:p w:rsidR="003D1860" w:rsidRDefault="003D1860"/>
        </w:tc>
        <w:tc>
          <w:tcPr>
            <w:tcW w:w="1462" w:type="dxa"/>
          </w:tcPr>
          <w:p w:rsidR="003D1860" w:rsidRDefault="003D1860"/>
        </w:tc>
        <w:tc>
          <w:tcPr>
            <w:tcW w:w="2259" w:type="dxa"/>
          </w:tcPr>
          <w:p w:rsidR="003D1860" w:rsidRDefault="003D1860"/>
        </w:tc>
        <w:tc>
          <w:tcPr>
            <w:tcW w:w="952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62" w:type="dxa"/>
          </w:tcPr>
          <w:p w:rsidR="003D1860" w:rsidRDefault="003D1860"/>
        </w:tc>
        <w:tc>
          <w:tcPr>
            <w:tcW w:w="2259" w:type="dxa"/>
          </w:tcPr>
          <w:p w:rsidR="003D1860" w:rsidRDefault="003D1860"/>
        </w:tc>
        <w:tc>
          <w:tcPr>
            <w:tcW w:w="952" w:type="dxa"/>
          </w:tcPr>
          <w:p w:rsidR="003D1860" w:rsidRDefault="003D1860"/>
        </w:tc>
      </w:tr>
      <w:tr w:rsidR="003D1860" w:rsidTr="00965DC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</w:p>
        </w:tc>
      </w:tr>
      <w:tr w:rsidR="003D1860" w:rsidTr="00965DCF">
        <w:trPr>
          <w:trHeight w:hRule="exact" w:val="277"/>
        </w:trPr>
        <w:tc>
          <w:tcPr>
            <w:tcW w:w="1660" w:type="dxa"/>
          </w:tcPr>
          <w:p w:rsidR="003D1860" w:rsidRDefault="003D1860"/>
        </w:tc>
        <w:tc>
          <w:tcPr>
            <w:tcW w:w="1389" w:type="dxa"/>
          </w:tcPr>
          <w:p w:rsidR="003D1860" w:rsidRDefault="003D1860"/>
        </w:tc>
        <w:tc>
          <w:tcPr>
            <w:tcW w:w="111" w:type="dxa"/>
          </w:tcPr>
          <w:p w:rsidR="003D1860" w:rsidRDefault="003D1860"/>
        </w:tc>
        <w:tc>
          <w:tcPr>
            <w:tcW w:w="550" w:type="dxa"/>
          </w:tcPr>
          <w:p w:rsidR="003D1860" w:rsidRDefault="003D1860"/>
        </w:tc>
        <w:tc>
          <w:tcPr>
            <w:tcW w:w="820" w:type="dxa"/>
          </w:tcPr>
          <w:p w:rsidR="003D1860" w:rsidRDefault="003D1860"/>
        </w:tc>
        <w:tc>
          <w:tcPr>
            <w:tcW w:w="286" w:type="dxa"/>
          </w:tcPr>
          <w:p w:rsidR="003D1860" w:rsidRDefault="003D1860"/>
        </w:tc>
        <w:tc>
          <w:tcPr>
            <w:tcW w:w="785" w:type="dxa"/>
          </w:tcPr>
          <w:p w:rsidR="003D1860" w:rsidRDefault="003D1860"/>
        </w:tc>
        <w:tc>
          <w:tcPr>
            <w:tcW w:w="1462" w:type="dxa"/>
          </w:tcPr>
          <w:p w:rsidR="003D1860" w:rsidRDefault="003D1860"/>
        </w:tc>
        <w:tc>
          <w:tcPr>
            <w:tcW w:w="2259" w:type="dxa"/>
          </w:tcPr>
          <w:p w:rsidR="003D1860" w:rsidRDefault="003D1860"/>
        </w:tc>
        <w:tc>
          <w:tcPr>
            <w:tcW w:w="952" w:type="dxa"/>
          </w:tcPr>
          <w:p w:rsidR="003D1860" w:rsidRDefault="003D1860"/>
        </w:tc>
      </w:tr>
      <w:tr w:rsidR="003D1860" w:rsidRPr="00965DCF" w:rsidTr="00965DCF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6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Tr="00965DCF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 ИНФОРМАЦИОННЫЕ СИСТЕМЫ И 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09.02.2016 г. № 1547)</w:t>
            </w:r>
          </w:p>
        </w:tc>
      </w:tr>
      <w:tr w:rsidR="003D1860" w:rsidTr="00965DCF">
        <w:trPr>
          <w:trHeight w:hRule="exact" w:val="277"/>
        </w:trPr>
        <w:tc>
          <w:tcPr>
            <w:tcW w:w="1660" w:type="dxa"/>
          </w:tcPr>
          <w:p w:rsidR="003D1860" w:rsidRDefault="003D1860"/>
        </w:tc>
        <w:tc>
          <w:tcPr>
            <w:tcW w:w="1389" w:type="dxa"/>
          </w:tcPr>
          <w:p w:rsidR="003D1860" w:rsidRDefault="003D1860"/>
        </w:tc>
        <w:tc>
          <w:tcPr>
            <w:tcW w:w="111" w:type="dxa"/>
          </w:tcPr>
          <w:p w:rsidR="003D1860" w:rsidRDefault="003D1860"/>
        </w:tc>
        <w:tc>
          <w:tcPr>
            <w:tcW w:w="550" w:type="dxa"/>
          </w:tcPr>
          <w:p w:rsidR="003D1860" w:rsidRDefault="003D1860"/>
        </w:tc>
        <w:tc>
          <w:tcPr>
            <w:tcW w:w="820" w:type="dxa"/>
          </w:tcPr>
          <w:p w:rsidR="003D1860" w:rsidRDefault="003D1860"/>
        </w:tc>
        <w:tc>
          <w:tcPr>
            <w:tcW w:w="286" w:type="dxa"/>
          </w:tcPr>
          <w:p w:rsidR="003D1860" w:rsidRDefault="003D1860"/>
        </w:tc>
        <w:tc>
          <w:tcPr>
            <w:tcW w:w="785" w:type="dxa"/>
          </w:tcPr>
          <w:p w:rsidR="003D1860" w:rsidRDefault="003D1860"/>
        </w:tc>
        <w:tc>
          <w:tcPr>
            <w:tcW w:w="1462" w:type="dxa"/>
          </w:tcPr>
          <w:p w:rsidR="003D1860" w:rsidRDefault="003D1860"/>
        </w:tc>
        <w:tc>
          <w:tcPr>
            <w:tcW w:w="2259" w:type="dxa"/>
          </w:tcPr>
          <w:p w:rsidR="003D1860" w:rsidRDefault="003D1860"/>
        </w:tc>
        <w:tc>
          <w:tcPr>
            <w:tcW w:w="952" w:type="dxa"/>
          </w:tcPr>
          <w:p w:rsidR="003D1860" w:rsidRDefault="003D1860"/>
        </w:tc>
      </w:tr>
      <w:tr w:rsidR="003D1860" w:rsidRPr="00965DCF" w:rsidTr="00965DCF">
        <w:trPr>
          <w:trHeight w:hRule="exact" w:val="277"/>
        </w:trPr>
        <w:tc>
          <w:tcPr>
            <w:tcW w:w="56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6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 w:rsidTr="00965DCF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3D1860" w:rsidRPr="00965DCF" w:rsidTr="00965DCF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3D1860" w:rsidRPr="00965DCF" w:rsidTr="00965DCF">
        <w:trPr>
          <w:trHeight w:hRule="exact" w:val="277"/>
        </w:trPr>
        <w:tc>
          <w:tcPr>
            <w:tcW w:w="166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389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5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259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5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 w:rsidTr="00965DCF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965DCF" w:rsidRPr="00965DCF" w:rsidTr="00566045">
        <w:trPr>
          <w:trHeight w:val="554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5DCF" w:rsidRPr="00965DCF" w:rsidRDefault="00965DC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tr w:rsidR="003D1860" w:rsidRPr="00965DCF" w:rsidTr="00965DCF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3D1860" w:rsidRPr="00965DCF" w:rsidTr="00965DCF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 w:rsidTr="00965DCF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 w:rsidTr="00965DCF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965DCF" w:rsidTr="00965DCF">
        <w:trPr>
          <w:trHeight w:hRule="exact" w:val="189"/>
        </w:trPr>
        <w:tc>
          <w:tcPr>
            <w:tcW w:w="1660" w:type="dxa"/>
          </w:tcPr>
          <w:p w:rsidR="00965DCF" w:rsidRPr="00965DCF" w:rsidRDefault="00965DCF" w:rsidP="00965DCF">
            <w:pPr>
              <w:rPr>
                <w:lang w:val="ru-RU"/>
              </w:rPr>
            </w:pPr>
            <w:bookmarkStart w:id="0" w:name="_GoBack" w:colFirst="1" w:colLast="3"/>
          </w:p>
        </w:tc>
        <w:tc>
          <w:tcPr>
            <w:tcW w:w="1389" w:type="dxa"/>
            <w:shd w:val="clear" w:color="000000" w:fill="FFFFFF"/>
            <w:tcMar>
              <w:left w:w="34" w:type="dxa"/>
              <w:right w:w="34" w:type="dxa"/>
            </w:tcMar>
          </w:tcPr>
          <w:p w:rsidR="00965DCF" w:rsidRDefault="00965DCF" w:rsidP="00965DC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11" w:type="dxa"/>
          </w:tcPr>
          <w:p w:rsidR="00965DCF" w:rsidRDefault="00965DCF" w:rsidP="00965DCF"/>
        </w:tc>
        <w:tc>
          <w:tcPr>
            <w:tcW w:w="165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5DCF" w:rsidRDefault="00965DCF" w:rsidP="00965DC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5" w:type="dxa"/>
          </w:tcPr>
          <w:p w:rsidR="00965DCF" w:rsidRDefault="00965DCF" w:rsidP="00965DCF"/>
        </w:tc>
        <w:tc>
          <w:tcPr>
            <w:tcW w:w="1462" w:type="dxa"/>
          </w:tcPr>
          <w:p w:rsidR="00965DCF" w:rsidRDefault="00965DCF" w:rsidP="00965DCF"/>
        </w:tc>
        <w:tc>
          <w:tcPr>
            <w:tcW w:w="2259" w:type="dxa"/>
          </w:tcPr>
          <w:p w:rsidR="00965DCF" w:rsidRDefault="00965DCF" w:rsidP="00965DCF"/>
        </w:tc>
        <w:tc>
          <w:tcPr>
            <w:tcW w:w="952" w:type="dxa"/>
          </w:tcPr>
          <w:p w:rsidR="00965DCF" w:rsidRDefault="00965DCF" w:rsidP="00965DCF"/>
        </w:tc>
      </w:tr>
      <w:bookmarkEnd w:id="0"/>
      <w:tr w:rsidR="003D1860" w:rsidTr="00965DCF">
        <w:trPr>
          <w:trHeight w:hRule="exact" w:val="14"/>
        </w:trPr>
        <w:tc>
          <w:tcPr>
            <w:tcW w:w="1660" w:type="dxa"/>
          </w:tcPr>
          <w:p w:rsidR="003D1860" w:rsidRDefault="003D1860"/>
        </w:tc>
        <w:tc>
          <w:tcPr>
            <w:tcW w:w="1389" w:type="dxa"/>
          </w:tcPr>
          <w:p w:rsidR="003D1860" w:rsidRDefault="003D1860"/>
        </w:tc>
        <w:tc>
          <w:tcPr>
            <w:tcW w:w="111" w:type="dxa"/>
          </w:tcPr>
          <w:p w:rsidR="003D1860" w:rsidRDefault="003D1860"/>
        </w:tc>
        <w:tc>
          <w:tcPr>
            <w:tcW w:w="165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785" w:type="dxa"/>
          </w:tcPr>
          <w:p w:rsidR="003D1860" w:rsidRDefault="003D1860"/>
        </w:tc>
        <w:tc>
          <w:tcPr>
            <w:tcW w:w="1462" w:type="dxa"/>
          </w:tcPr>
          <w:p w:rsidR="003D1860" w:rsidRDefault="003D1860"/>
        </w:tc>
        <w:tc>
          <w:tcPr>
            <w:tcW w:w="2259" w:type="dxa"/>
          </w:tcPr>
          <w:p w:rsidR="003D1860" w:rsidRDefault="003D1860"/>
        </w:tc>
        <w:tc>
          <w:tcPr>
            <w:tcW w:w="952" w:type="dxa"/>
          </w:tcPr>
          <w:p w:rsidR="003D1860" w:rsidRDefault="003D1860"/>
        </w:tc>
      </w:tr>
    </w:tbl>
    <w:p w:rsidR="003D1860" w:rsidRDefault="00965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"/>
        <w:gridCol w:w="1675"/>
        <w:gridCol w:w="1509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3D1860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3D1860" w:rsidRDefault="003D1860"/>
        </w:tc>
        <w:tc>
          <w:tcPr>
            <w:tcW w:w="710" w:type="dxa"/>
          </w:tcPr>
          <w:p w:rsidR="003D1860" w:rsidRDefault="003D1860"/>
        </w:tc>
        <w:tc>
          <w:tcPr>
            <w:tcW w:w="1135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  <w:tc>
          <w:tcPr>
            <w:tcW w:w="426" w:type="dxa"/>
          </w:tcPr>
          <w:p w:rsidR="003D1860" w:rsidRDefault="003D18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186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ОБЛАСТЬ ПРИМЕНЕНИЯ РАБОЧЕЙ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</w:p>
        </w:tc>
      </w:tr>
      <w:tr w:rsidR="003D1860" w:rsidRPr="00965DC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«Численные методы» принадлежит к общепрофессиональному циклу</w:t>
            </w:r>
          </w:p>
        </w:tc>
      </w:tr>
      <w:tr w:rsidR="003D1860" w:rsidRPr="00965DCF">
        <w:trPr>
          <w:trHeight w:hRule="exact" w:val="277"/>
        </w:trPr>
        <w:tc>
          <w:tcPr>
            <w:tcW w:w="76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3D1860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ОП.10</w:t>
            </w:r>
          </w:p>
        </w:tc>
      </w:tr>
      <w:tr w:rsidR="003D1860" w:rsidRPr="00965DC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3D1860" w:rsidRPr="00965DC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/ Адаптивные информационные и коммуникационные технологии</w:t>
            </w:r>
          </w:p>
        </w:tc>
      </w:tr>
      <w:tr w:rsidR="003D1860" w:rsidRPr="00965DC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</w:t>
            </w: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D18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D1860">
        <w:trPr>
          <w:trHeight w:hRule="exact" w:val="277"/>
        </w:trPr>
        <w:tc>
          <w:tcPr>
            <w:tcW w:w="766" w:type="dxa"/>
          </w:tcPr>
          <w:p w:rsidR="003D1860" w:rsidRDefault="003D1860"/>
        </w:tc>
        <w:tc>
          <w:tcPr>
            <w:tcW w:w="228" w:type="dxa"/>
          </w:tcPr>
          <w:p w:rsidR="003D1860" w:rsidRDefault="003D1860"/>
        </w:tc>
        <w:tc>
          <w:tcPr>
            <w:tcW w:w="1844" w:type="dxa"/>
          </w:tcPr>
          <w:p w:rsidR="003D1860" w:rsidRDefault="003D1860"/>
        </w:tc>
        <w:tc>
          <w:tcPr>
            <w:tcW w:w="1702" w:type="dxa"/>
          </w:tcPr>
          <w:p w:rsidR="003D1860" w:rsidRDefault="003D1860"/>
        </w:tc>
        <w:tc>
          <w:tcPr>
            <w:tcW w:w="143" w:type="dxa"/>
          </w:tcPr>
          <w:p w:rsidR="003D1860" w:rsidRDefault="003D1860"/>
        </w:tc>
        <w:tc>
          <w:tcPr>
            <w:tcW w:w="851" w:type="dxa"/>
          </w:tcPr>
          <w:p w:rsidR="003D1860" w:rsidRDefault="003D1860"/>
        </w:tc>
        <w:tc>
          <w:tcPr>
            <w:tcW w:w="710" w:type="dxa"/>
          </w:tcPr>
          <w:p w:rsidR="003D1860" w:rsidRDefault="003D1860"/>
        </w:tc>
        <w:tc>
          <w:tcPr>
            <w:tcW w:w="1135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  <w:tc>
          <w:tcPr>
            <w:tcW w:w="426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</w:tr>
      <w:tr w:rsidR="003D1860" w:rsidRPr="00965DC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3D1860" w:rsidRPr="00965DCF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01.: Выбирать способы </w:t>
            </w: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задач профессиональной деятельности, применительно к различным контекстам.</w:t>
            </w:r>
          </w:p>
        </w:tc>
      </w:tr>
      <w:tr w:rsidR="003D1860" w:rsidRPr="00965DCF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D1860" w:rsidRPr="00965DCF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04.: Работать в коллективе и команде, </w:t>
            </w: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эффективно взаимодействовать с коллегами, руководством, клиентами.</w:t>
            </w:r>
          </w:p>
        </w:tc>
      </w:tr>
      <w:tr w:rsidR="003D1860" w:rsidRPr="00965DCF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D1860" w:rsidRPr="00965DCF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09.: Использовать информационные технологии в </w:t>
            </w: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3D1860" w:rsidRPr="00965DCF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3D1860" w:rsidRPr="00965DCF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5.1.: Собирать исходные данные для разработки проектной документации на информационную систему.</w:t>
            </w:r>
          </w:p>
        </w:tc>
      </w:tr>
      <w:tr w:rsidR="003D1860" w:rsidRPr="00965DCF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9.2.: Разрабатывать веб-при</w:t>
            </w: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ложение в соответствии с техническим заданием.</w:t>
            </w:r>
          </w:p>
        </w:tc>
      </w:tr>
      <w:tr w:rsidR="003D1860" w:rsidRPr="00965DCF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3D186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1860" w:rsidRPr="00965DC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</w:tc>
      </w:tr>
      <w:tr w:rsidR="003D186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ЭВМ.</w:t>
            </w:r>
          </w:p>
        </w:tc>
      </w:tr>
      <w:tr w:rsidR="003D186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D1860" w:rsidRPr="00965D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численные методы решения математических задач;</w:t>
            </w:r>
          </w:p>
        </w:tc>
      </w:tr>
      <w:tr w:rsidR="003D1860" w:rsidRPr="00965D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оптимальный численный метод для решения поставленной задачи;</w:t>
            </w:r>
          </w:p>
        </w:tc>
      </w:tr>
      <w:tr w:rsidR="003D1860" w:rsidRPr="00965DC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</w:tc>
      </w:tr>
      <w:tr w:rsidR="003D1860" w:rsidRPr="00965DC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алгоритмы и программы для решения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вычислительных задач, учитывая необходимую точность получаемого результата.</w:t>
            </w:r>
          </w:p>
        </w:tc>
      </w:tr>
      <w:tr w:rsidR="003D1860" w:rsidRPr="00965DCF">
        <w:trPr>
          <w:trHeight w:hRule="exact" w:val="277"/>
        </w:trPr>
        <w:tc>
          <w:tcPr>
            <w:tcW w:w="76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3D1860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D186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погрешностей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и классификация погрешностей результата численного решения задачи.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</w:tbl>
    <w:p w:rsidR="003D1860" w:rsidRDefault="00965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8"/>
        <w:gridCol w:w="119"/>
        <w:gridCol w:w="815"/>
        <w:gridCol w:w="674"/>
        <w:gridCol w:w="1080"/>
        <w:gridCol w:w="989"/>
        <w:gridCol w:w="926"/>
        <w:gridCol w:w="389"/>
        <w:gridCol w:w="948"/>
      </w:tblGrid>
      <w:tr w:rsidR="003D18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3D1860" w:rsidRDefault="003D1860"/>
        </w:tc>
        <w:tc>
          <w:tcPr>
            <w:tcW w:w="710" w:type="dxa"/>
          </w:tcPr>
          <w:p w:rsidR="003D1860" w:rsidRDefault="003D1860"/>
        </w:tc>
        <w:tc>
          <w:tcPr>
            <w:tcW w:w="1135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  <w:tc>
          <w:tcPr>
            <w:tcW w:w="426" w:type="dxa"/>
          </w:tcPr>
          <w:p w:rsidR="003D1860" w:rsidRDefault="003D18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над приближенными значениями чисел. Вычисления с наперед заданной точностью.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№1. Абсолютная и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относительная погрешности. /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погрешностей результатов арифметических действий над приближёнными числами.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 w:rsidRPr="00965DC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Численные методы решения нелинейных уравнений.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Постановка задачи локализации корней. Численные методы решения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половинного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2. Отделение корней уравнений. /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хорд. Метод Ньютона (касательных). Комбинированный метод хорд и касательных.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3. Решение нелинейных уравнений</w:t>
            </w:r>
          </w:p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бисекций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(деления отрезка пополам) и хорд.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 4.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нелинейных уравнений методом Ньютона (касательных) и комбинированным методом хорд и касательных.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 5. Решение нелинейных уравнений методом итераций.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отделения корней уравнений.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алгебраических и трансцендентных уравнений методом половинного деления и методом итераций.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алгебраических и трансцендентных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уравнений методом Ньютона (касательных) и комбинированным методом хорд и касательных.</w:t>
            </w:r>
          </w:p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 w:rsidRPr="00965DC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Решение систем линейных алгебраических уравнений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систем линейных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уравнений численными методами.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</w:tbl>
    <w:p w:rsidR="003D1860" w:rsidRDefault="00965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2"/>
        <w:gridCol w:w="119"/>
        <w:gridCol w:w="813"/>
        <w:gridCol w:w="673"/>
        <w:gridCol w:w="1078"/>
        <w:gridCol w:w="989"/>
        <w:gridCol w:w="923"/>
        <w:gridCol w:w="388"/>
        <w:gridCol w:w="946"/>
      </w:tblGrid>
      <w:tr w:rsidR="003D18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3D1860" w:rsidRDefault="003D1860"/>
        </w:tc>
        <w:tc>
          <w:tcPr>
            <w:tcW w:w="710" w:type="dxa"/>
          </w:tcPr>
          <w:p w:rsidR="003D1860" w:rsidRDefault="003D1860"/>
        </w:tc>
        <w:tc>
          <w:tcPr>
            <w:tcW w:w="1135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  <w:tc>
          <w:tcPr>
            <w:tcW w:w="426" w:type="dxa"/>
          </w:tcPr>
          <w:p w:rsidR="003D1860" w:rsidRDefault="003D18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простых итераций решения СЛАУ.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Зейделя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№6. Решение систем линейных уравнений методом простых итераций и методом Зейделя  /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систем линейных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уравнений методом простых итераций и методом Зейделя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Аппроксимация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экспериментальных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зависимостей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Интерполяционный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Интерполяционные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Ньютона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Интерполирование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сплайнами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№7. Интерполяционный многочлен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Лагранжа, аппроксимация методом наименьших</w:t>
            </w:r>
          </w:p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интерполяционных формул Лагранжа, Ньютона, нахождение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интерполяционных многочленов сплайнами.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интегрирование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Формулы Ньютона-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Котеса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методы прямоугольников,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трапеций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с помощью формул Гаусса.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№8. Приближенное решение определенных интегралов. /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</w:tbl>
    <w:p w:rsidR="003D1860" w:rsidRDefault="00965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0"/>
        <w:gridCol w:w="119"/>
        <w:gridCol w:w="813"/>
        <w:gridCol w:w="673"/>
        <w:gridCol w:w="1078"/>
        <w:gridCol w:w="989"/>
        <w:gridCol w:w="924"/>
        <w:gridCol w:w="388"/>
        <w:gridCol w:w="946"/>
      </w:tblGrid>
      <w:tr w:rsidR="003D18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3D1860" w:rsidRDefault="003D1860"/>
        </w:tc>
        <w:tc>
          <w:tcPr>
            <w:tcW w:w="710" w:type="dxa"/>
          </w:tcPr>
          <w:p w:rsidR="003D1860" w:rsidRDefault="003D1860"/>
        </w:tc>
        <w:tc>
          <w:tcPr>
            <w:tcW w:w="1135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  <w:tc>
          <w:tcPr>
            <w:tcW w:w="426" w:type="dxa"/>
          </w:tcPr>
          <w:p w:rsidR="003D1860" w:rsidRDefault="003D18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интегралов методами численного интегрирования.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 w:rsidRPr="00965DC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Численное решение обыкновенных дифференциальных уравнений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Эйлера. Уточнённая схема Эйлера.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Рунге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9. Приближенное решение обыкновенных дифференциальных уравнений. /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Приближенное решение обыкновенных дифференциальных уравнений различными методами.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оптимизации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 10. Линейное программирование.  /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решения задач оптимизации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знаний в виде экзамена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</w:tbl>
    <w:p w:rsidR="003D1860" w:rsidRDefault="00965D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942"/>
        <w:gridCol w:w="1877"/>
        <w:gridCol w:w="3180"/>
        <w:gridCol w:w="1599"/>
        <w:gridCol w:w="972"/>
      </w:tblGrid>
      <w:tr w:rsidR="003D18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3403" w:type="dxa"/>
          </w:tcPr>
          <w:p w:rsidR="003D1860" w:rsidRDefault="003D1860"/>
        </w:tc>
        <w:tc>
          <w:tcPr>
            <w:tcW w:w="1702" w:type="dxa"/>
          </w:tcPr>
          <w:p w:rsidR="003D1860" w:rsidRDefault="003D18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D1860">
        <w:trPr>
          <w:trHeight w:hRule="exact" w:val="277"/>
        </w:trPr>
        <w:tc>
          <w:tcPr>
            <w:tcW w:w="710" w:type="dxa"/>
          </w:tcPr>
          <w:p w:rsidR="003D1860" w:rsidRDefault="003D1860"/>
        </w:tc>
        <w:tc>
          <w:tcPr>
            <w:tcW w:w="1985" w:type="dxa"/>
          </w:tcPr>
          <w:p w:rsidR="003D1860" w:rsidRDefault="003D1860"/>
        </w:tc>
        <w:tc>
          <w:tcPr>
            <w:tcW w:w="1985" w:type="dxa"/>
          </w:tcPr>
          <w:p w:rsidR="003D1860" w:rsidRDefault="003D1860"/>
        </w:tc>
        <w:tc>
          <w:tcPr>
            <w:tcW w:w="3403" w:type="dxa"/>
          </w:tcPr>
          <w:p w:rsidR="003D1860" w:rsidRDefault="003D1860"/>
        </w:tc>
        <w:tc>
          <w:tcPr>
            <w:tcW w:w="1702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</w:tr>
      <w:tr w:rsidR="003D1860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D186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3D1860" w:rsidRPr="00965DCF">
        <w:trPr>
          <w:trHeight w:hRule="exact" w:val="5312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вопросы к экзамену по дисциплине: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Источники и классификация погрешностей. Погрешность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численного решения задачи;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Решение нелинейного уравнения (общая постановка задачи);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решения уравнений с одной переменной (метод половинного деления);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решения уравнений с одной переменной (метод касательных);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решения уравнен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с одной переменной (метод хорд);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решения уравнений с одной переменной (комбинированное применение методов хорд и касательных);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Решение системы линейных уравнений (Метод Гаусса с выбором главного элемента);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Решение системы линейных уравне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(метод простых итераций);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Решение системы линейных уравнений (метод Зейделя);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Интерполяционные многочлены. Интерполяционный многочлен Лагранжа. Погрешность интерполяции;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Интерполяционные многочлены. Интерполяционный многочлен Ньютона;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Численное дифференцирование;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Приближенные методы вычислений определенных интегралов (Метод прямоугольников);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Приближенные методы вычислений определенных интегралов (Метод трапеций);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Приближенные методы вычислений определенных интегралов (Метод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парабол);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Численные методы решения задачи Коши для обыкновенных дифференциальных уравнений (основные определения, постановка задачи, группы методов);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Интегрирование дифференциальных уравнений с помощью степенных рядов (Дифференциальное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порядка);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Интегрирование дифференциальных уравнений с помощью степенных рядов (Система дифференциальных уравнений);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Метод Эйлера;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Метод Рунге–Кутта;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Численные методы решения задач оптимизации.</w:t>
            </w:r>
          </w:p>
        </w:tc>
      </w:tr>
      <w:tr w:rsidR="003D186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3D1860">
        <w:trPr>
          <w:trHeight w:hRule="exact" w:val="20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Виды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погрешностей при измерениях.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Вычисления с наперед заданной точностью.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Решение косоугольных треугольников.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 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Жордана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-Гаусса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Графический и аналитический методы отделения корней.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Численное дифференцирование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Численное интегрирование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тоды оптимизации</w:t>
            </w:r>
          </w:p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некорректных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</w:tr>
      <w:tr w:rsidR="003D186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3D1860" w:rsidRPr="00965DC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задания для практических работ;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экзаменационные билеты.</w:t>
            </w:r>
          </w:p>
        </w:tc>
      </w:tr>
      <w:tr w:rsidR="003D1860" w:rsidRPr="00965DCF">
        <w:trPr>
          <w:trHeight w:hRule="exact" w:val="277"/>
        </w:trPr>
        <w:tc>
          <w:tcPr>
            <w:tcW w:w="710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D186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186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18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D186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Вячеславович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3D186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D18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D186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Булавский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А., Звягина, Р. А., Р. А. Звягина, М. А. Яковлева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Численные методы линейного программирования: Специальные задачи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</w:tr>
      <w:tr w:rsidR="003D186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Вержбицкий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Численные методы (линейная алгебра и нелинейные уравнения): учеб. пособие для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</w:tr>
      <w:tr w:rsidR="003D186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Вержбицкий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Численные методы (математический анализ и обыкновенные дифференциальные уравнения): учеб. пособие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ОНИКС 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</w:tr>
      <w:tr w:rsidR="003D186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D186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D1860">
        <w:trPr>
          <w:trHeight w:hRule="exact" w:val="277"/>
        </w:trPr>
        <w:tc>
          <w:tcPr>
            <w:tcW w:w="710" w:type="dxa"/>
          </w:tcPr>
          <w:p w:rsidR="003D1860" w:rsidRDefault="003D1860"/>
        </w:tc>
        <w:tc>
          <w:tcPr>
            <w:tcW w:w="1985" w:type="dxa"/>
          </w:tcPr>
          <w:p w:rsidR="003D1860" w:rsidRDefault="003D1860"/>
        </w:tc>
        <w:tc>
          <w:tcPr>
            <w:tcW w:w="1985" w:type="dxa"/>
          </w:tcPr>
          <w:p w:rsidR="003D1860" w:rsidRDefault="003D1860"/>
        </w:tc>
        <w:tc>
          <w:tcPr>
            <w:tcW w:w="3403" w:type="dxa"/>
          </w:tcPr>
          <w:p w:rsidR="003D1860" w:rsidRDefault="003D1860"/>
        </w:tc>
        <w:tc>
          <w:tcPr>
            <w:tcW w:w="1702" w:type="dxa"/>
          </w:tcPr>
          <w:p w:rsidR="003D1860" w:rsidRDefault="003D1860"/>
        </w:tc>
        <w:tc>
          <w:tcPr>
            <w:tcW w:w="993" w:type="dxa"/>
          </w:tcPr>
          <w:p w:rsidR="003D1860" w:rsidRDefault="003D1860"/>
        </w:tc>
      </w:tr>
      <w:tr w:rsidR="003D1860" w:rsidRPr="00965DC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3D1860" w:rsidRPr="00965DCF" w:rsidRDefault="00965DCF">
      <w:pPr>
        <w:rPr>
          <w:sz w:val="0"/>
          <w:szCs w:val="0"/>
          <w:lang w:val="ru-RU"/>
        </w:rPr>
      </w:pPr>
      <w:r w:rsidRPr="00965D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735"/>
        <w:gridCol w:w="4791"/>
        <w:gridCol w:w="969"/>
      </w:tblGrid>
      <w:tr w:rsidR="003D186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3D1860" w:rsidRDefault="003D18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D1860" w:rsidRPr="00965D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дисциплины требует наличия кабинета информатики и информационных технологий.</w:t>
            </w:r>
          </w:p>
        </w:tc>
      </w:tr>
      <w:tr w:rsidR="003D1860" w:rsidRPr="00965D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Оборудование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кабинета информатики и информационных технологий:</w:t>
            </w:r>
          </w:p>
        </w:tc>
      </w:tr>
      <w:tr w:rsidR="003D1860" w:rsidRPr="00965D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рабочие места  по количеству обучающихся;</w:t>
            </w:r>
          </w:p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Microsoft office;</w:t>
            </w:r>
          </w:p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3D1860"/>
        </w:tc>
      </w:tr>
      <w:tr w:rsidR="003D18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D1860" w:rsidRPr="00965D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Default="00965D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компьютеры с лицензионным программным обеспечением, интерактивная доска.</w:t>
            </w:r>
          </w:p>
        </w:tc>
      </w:tr>
      <w:tr w:rsidR="003D1860" w:rsidRPr="00965DCF">
        <w:trPr>
          <w:trHeight w:hRule="exact" w:val="277"/>
        </w:trPr>
        <w:tc>
          <w:tcPr>
            <w:tcW w:w="766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1860" w:rsidRPr="00965DCF" w:rsidRDefault="003D1860">
            <w:pPr>
              <w:rPr>
                <w:lang w:val="ru-RU"/>
              </w:rPr>
            </w:pPr>
          </w:p>
        </w:tc>
      </w:tr>
      <w:tr w:rsidR="003D1860" w:rsidRPr="00965DC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D1860" w:rsidRPr="00965DCF">
        <w:trPr>
          <w:trHeight w:hRule="exact" w:val="926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 работ</w:t>
            </w:r>
          </w:p>
          <w:p w:rsidR="003D1860" w:rsidRPr="00965DCF" w:rsidRDefault="003D1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лекции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требованием для освоения дисциплины является посещений лекций. В ходе лекционных занятий вести конспектирование учебного материала. Обращать внимание на категории, формулировки. В случае возникновения вопрос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обращаться за консультациями к преподавателю. В ходе изучения дисциплины мало ограничиваться лекциями, рекомендуется изучить основную литературу, ознакомиться с дополнительной литературой.</w:t>
            </w:r>
          </w:p>
          <w:p w:rsidR="003D1860" w:rsidRPr="00965DCF" w:rsidRDefault="003D1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практические занятия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Главное назначение практических занятий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более тесное общение преподавателя со студентами на темы, определённые преподавателем заранее. При подготовке требуется попытаться выполнить все домашние задания и попытаться наиболее чётко сформулировать непонятные и проблемные этапы возникшие при этом.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Непосредственно на занятии нужно обсудить возникшие вопросы с преподавателем.</w:t>
            </w:r>
          </w:p>
          <w:p w:rsidR="003D1860" w:rsidRPr="00965DCF" w:rsidRDefault="003D1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самостоятельная работа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каждой лекции студенту следует внимательно прочитать и разобрать конспект. Понять все математические выкладки и лежащие в их основе математически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положения и допущения; воспроизвести все выкладки самостоятельно, не глядя в конспект. Выполнить или доделать выкладки, которые лектор предписал сделать самостоятельно (если таковые имеются). Если лектор предписал разобрать часть материала более подробно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 по доступным письменным или электронным источникам, то необходимо своевременно это сделать. При возникновении каких-либо трудностей с пониманием материала рекомендуется попросить помощи у своих </w:t>
            </w:r>
            <w:proofErr w:type="spell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одногруппников</w:t>
            </w:r>
            <w:proofErr w:type="spell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сокурсников. Также можно об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ратиться за помощью к лектору.</w:t>
            </w:r>
          </w:p>
          <w:p w:rsidR="003D1860" w:rsidRPr="00965DCF" w:rsidRDefault="003D1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устный опрос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Устный опрос, как правило, производится на каждом практическом занятии для актуализации знаний. Для его успешного прохождения достаточно знания определений. Все это можно найти в собственных конспектах </w:t>
            </w:r>
            <w:proofErr w:type="gram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лекций 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proofErr w:type="gram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рекомендованной литературе. Запоминание основных понятий и формул существенно упрощается, если регулярно выполнять все домашние задания, читать рекомендованную литературу, просматривать регулярно конспекты лекций.</w:t>
            </w:r>
          </w:p>
          <w:p w:rsidR="003D1860" w:rsidRPr="00965DCF" w:rsidRDefault="003D1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контрольная работа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 задачи, которы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предлагаются на контрольной работе являются упрощенной версией </w:t>
            </w:r>
            <w:proofErr w:type="gramStart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proofErr w:type="gramEnd"/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разбираемых на практических занятиях, поэтому своевременное выполнение домашних заданий - залог успеха на контрольных и в целом успешной аттестации по дисциплине. Перед контрольной рабо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той имеет смысл просмотреть все домашние задания по данной теме и попытаться ликвидировать обнаруженные пробелы в знаниях и умениях.</w:t>
            </w:r>
          </w:p>
          <w:p w:rsidR="003D1860" w:rsidRPr="00965DCF" w:rsidRDefault="003D18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экзамен</w:t>
            </w:r>
          </w:p>
          <w:p w:rsidR="003D1860" w:rsidRPr="00965DCF" w:rsidRDefault="00965D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каждого студента на руках должен быть полный список вопросов для экзамена. Их можно тщательно изучить и разбит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на несколько групп по уровню ваших знаний. Необходимо иметь конспекты всех лекций и практических занятий. На экзамене будут предложены задачи аналогичные разбираемым на практических занятиях. Не стоит избегать посещения консультации - на ней можно уточни</w:t>
            </w:r>
            <w:r w:rsidRPr="00965D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у преподавателя все, что осталось непонятным</w:t>
            </w:r>
          </w:p>
        </w:tc>
      </w:tr>
    </w:tbl>
    <w:p w:rsidR="003D1860" w:rsidRPr="00965DCF" w:rsidRDefault="003D1860">
      <w:pPr>
        <w:rPr>
          <w:lang w:val="ru-RU"/>
        </w:rPr>
      </w:pPr>
    </w:p>
    <w:sectPr w:rsidR="003D1860" w:rsidRPr="00965D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1860"/>
    <w:rsid w:val="00965DC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92CD3"/>
  <w15:docId w15:val="{E9DAFAE9-7984-4205-ACAE-45399766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2642</Words>
  <Characters>15063</Characters>
  <Application>Microsoft Office Word</Application>
  <DocSecurity>0</DocSecurity>
  <Lines>125</Lines>
  <Paragraphs>35</Paragraphs>
  <ScaleCrop>false</ScaleCrop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РВиМП_plx_Численные методы</dc:title>
  <dc:creator>FastReport.NET</dc:creator>
  <cp:lastModifiedBy>СВЕТЛАНА ШИНАКОВА</cp:lastModifiedBy>
  <cp:revision>2</cp:revision>
  <dcterms:created xsi:type="dcterms:W3CDTF">2022-08-30T17:48:00Z</dcterms:created>
  <dcterms:modified xsi:type="dcterms:W3CDTF">2022-08-30T17:49:00Z</dcterms:modified>
</cp:coreProperties>
</file>